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Yeung Ka Keung</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03/17/2026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Phoenix New Media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FENG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77"/>
        <w:spacing w:after="0" w:line="402" w:lineRule="auto"/>
        <w:rPr>
          <w:sz w:val="20"/>
          <w:szCs w:val="20"/>
          <w:color w:val="auto"/>
        </w:rPr>
      </w:pPr>
      <w:r>
        <w:rPr>
          <w:rFonts w:ascii="Times New Roman" w:cs="Times New Roman" w:eastAsia="Times New Roman" w:hAnsi="Times New Roman"/>
          <w:sz w:val="18"/>
          <w:szCs w:val="18"/>
          <w:color w:val="0000FF"/>
        </w:rPr>
        <w:t>NO. 2-6 DAI KING STREET TAI PO INDUSTRIAL ESTATE</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183" w:lineRule="auto"/>
        <w:tabs>
          <w:tab w:leader="none" w:pos="1140" w:val="left"/>
        </w:tabs>
        <w:rPr>
          <w:sz w:val="20"/>
          <w:szCs w:val="20"/>
          <w:color w:val="auto"/>
        </w:rPr>
      </w:pPr>
      <w:r>
        <w:rPr>
          <w:rFonts w:ascii="Times New Roman" w:cs="Times New Roman" w:eastAsia="Times New Roman" w:hAnsi="Times New Roman"/>
          <w:sz w:val="18"/>
          <w:szCs w:val="18"/>
          <w:color w:val="0000FF"/>
        </w:rPr>
        <w:t>HONG</w:t>
      </w:r>
      <w:r>
        <w:rPr>
          <w:sz w:val="20"/>
          <w:szCs w:val="20"/>
          <w:color w:val="auto"/>
        </w:rPr>
        <w:tab/>
      </w:r>
      <w:r>
        <w:rPr>
          <w:rFonts w:ascii="Times New Roman" w:cs="Times New Roman" w:eastAsia="Times New Roman" w:hAnsi="Times New Roman"/>
          <w:sz w:val="34"/>
          <w:szCs w:val="34"/>
          <w:color w:val="0000FF"/>
          <w:vertAlign w:val="subscript"/>
        </w:rPr>
        <w:t>F4</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KONG</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1"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4"/>
              </w:rPr>
              <w:t>/s/ Yao Wang, Power of</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 for: Yeung Ka</w:t>
            </w: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3"/>
              </w:rPr>
              <w:t>Keung</w:t>
            </w:r>
          </w:p>
        </w:tc>
        <w:tc>
          <w:tcPr>
            <w:tcW w:w="4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Know all by these presents that the undersigned, does hereby make, constitute and appoint each of Yao Wang, Binbing Guo and Haoxue Feng,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Phoenix New Media Limited (the “Company”) (i) pursuant to Section 16(a) of the Securities Exchange Act of 1934, as amended, including without limitation, statements on Form 3, Form 4, Form 5 (including any amendments thereto), and</w:t>
      </w:r>
    </w:p>
    <w:p>
      <w:pPr>
        <w:ind w:right="40"/>
        <w:spacing w:after="0" w:line="252" w:lineRule="auto"/>
        <w:tabs>
          <w:tab w:leader="none" w:pos="29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Yao Wang, Binbing Guo and Haoxue Feng, are not assuming any of the undersigned’s responsibilities to comply with Section 16 of the Securities Exchange Act of 1934, as amended, or Rule 144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6140" w:type="dxa"/>
        <w:tblCellMar>
          <w:top w:w="0" w:type="dxa"/>
          <w:left w:w="0" w:type="dxa"/>
          <w:bottom w:w="0" w:type="dxa"/>
          <w:right w:w="0" w:type="dxa"/>
        </w:tblCellMar>
      </w:tblPr>
      <w:tr>
        <w:trPr>
          <w:trHeight w:val="2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Yeung Ka Keung</w:t>
            </w:r>
          </w:p>
        </w:tc>
      </w:tr>
      <w:tr>
        <w:trPr>
          <w:trHeight w:val="25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Yeung Ka Keung</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1454785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480882" TargetMode="External"/><Relationship Id="rId11" Type="http://schemas.openxmlformats.org/officeDocument/2006/relationships/hyperlink" Target="http://www.sec.gov/cgi-bin/browse-edgar?action=getcompany&amp;CIK=00015096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2026-03-17T05:25:13Z</dcterms:created>
  <dcterms:modified xsi:type="dcterms:W3CDTF">2026-03-17T05:25:13Z</dcterms:modified>
</cp:coreProperties>
</file>